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30390" w14:textId="77777777" w:rsidR="0026013D" w:rsidRPr="0026013D" w:rsidRDefault="0026013D" w:rsidP="0026013D">
      <w:pPr>
        <w:pStyle w:val="Heading1"/>
        <w:jc w:val="center"/>
        <w:rPr>
          <w:rFonts w:ascii="Century Gothic" w:hAnsi="Century Gothic" w:cs="Calibri"/>
          <w:color w:val="auto"/>
          <w:u w:val="single"/>
        </w:rPr>
      </w:pPr>
      <w:r w:rsidRPr="0026013D">
        <w:rPr>
          <w:rFonts w:ascii="Century Gothic" w:hAnsi="Century Gothic" w:cs="Calibri"/>
          <w:color w:val="auto"/>
          <w:u w:val="single"/>
        </w:rPr>
        <w:t>Illness and Attendance</w:t>
      </w:r>
    </w:p>
    <w:p w14:paraId="03EC92F1" w14:textId="7B014722" w:rsidR="0026013D" w:rsidRPr="0026013D" w:rsidRDefault="0026013D" w:rsidP="0026013D">
      <w:pPr>
        <w:pStyle w:val="Heading1"/>
        <w:rPr>
          <w:rFonts w:ascii="Century Gothic" w:hAnsi="Century Gothic" w:cs="Calibri"/>
          <w:b w:val="0"/>
          <w:color w:val="auto"/>
        </w:rPr>
      </w:pPr>
      <w:r w:rsidRPr="0026013D">
        <w:rPr>
          <w:rFonts w:ascii="Century Gothic" w:hAnsi="Century Gothic" w:cs="Calibri"/>
          <w:b w:val="0"/>
          <w:color w:val="auto"/>
        </w:rPr>
        <w:t xml:space="preserve">At Park Aspire, we follow the advice given by NHS England about when children are able to return to school after illness. This is </w:t>
      </w:r>
      <w:proofErr w:type="spellStart"/>
      <w:r w:rsidRPr="0026013D">
        <w:rPr>
          <w:rFonts w:ascii="Century Gothic" w:hAnsi="Century Gothic" w:cs="Calibri"/>
          <w:b w:val="0"/>
          <w:color w:val="auto"/>
        </w:rPr>
        <w:t>summari</w:t>
      </w:r>
      <w:r w:rsidR="00790105">
        <w:rPr>
          <w:rFonts w:ascii="Century Gothic" w:hAnsi="Century Gothic" w:cs="Calibri"/>
          <w:b w:val="0"/>
          <w:color w:val="auto"/>
        </w:rPr>
        <w:t>s</w:t>
      </w:r>
      <w:r w:rsidRPr="0026013D">
        <w:rPr>
          <w:rFonts w:ascii="Century Gothic" w:hAnsi="Century Gothic" w:cs="Calibri"/>
          <w:b w:val="0"/>
          <w:color w:val="auto"/>
        </w:rPr>
        <w:t>ed</w:t>
      </w:r>
      <w:proofErr w:type="spellEnd"/>
      <w:r w:rsidRPr="0026013D">
        <w:rPr>
          <w:rFonts w:ascii="Century Gothic" w:hAnsi="Century Gothic" w:cs="Calibri"/>
          <w:b w:val="0"/>
          <w:color w:val="auto"/>
        </w:rPr>
        <w:t xml:space="preserve"> in the table below, but if you need any more information please visit the NHS England website</w:t>
      </w:r>
      <w:r w:rsidR="00790105">
        <w:rPr>
          <w:rFonts w:ascii="Century Gothic" w:hAnsi="Century Gothic" w:cs="Calibri"/>
          <w:b w:val="0"/>
          <w:color w:val="auto"/>
        </w:rPr>
        <w:t xml:space="preserve"> or contact Aisha in our school office. </w:t>
      </w:r>
    </w:p>
    <w:p w14:paraId="25CDE31F" w14:textId="77777777" w:rsidR="00593384" w:rsidRPr="0026013D" w:rsidRDefault="0026013D">
      <w:pPr>
        <w:pStyle w:val="Heading1"/>
        <w:rPr>
          <w:rFonts w:ascii="Century Gothic" w:hAnsi="Century Gothic" w:cs="Calibri"/>
          <w:color w:val="auto"/>
        </w:rPr>
      </w:pPr>
      <w:r w:rsidRPr="0026013D">
        <w:rPr>
          <w:rFonts w:ascii="Century Gothic" w:hAnsi="Century Gothic" w:cs="Calibri"/>
          <w:color w:val="auto"/>
        </w:rPr>
        <w:t>Is My Child Too Ill for School?</w:t>
      </w:r>
    </w:p>
    <w:p w14:paraId="668EDF3F" w14:textId="7579844B" w:rsidR="00593384" w:rsidRPr="0026013D" w:rsidRDefault="0026013D">
      <w:pPr>
        <w:rPr>
          <w:rFonts w:ascii="Century Gothic" w:hAnsi="Century Gothic" w:cs="Calibri"/>
        </w:rPr>
      </w:pPr>
      <w:r w:rsidRPr="0026013D">
        <w:rPr>
          <w:rFonts w:ascii="Century Gothic" w:hAnsi="Century Gothic" w:cs="Calibri"/>
        </w:rPr>
        <w:t>It can be tricky deciding whether or not to keep your child off school</w:t>
      </w:r>
      <w:r w:rsidR="00790105">
        <w:rPr>
          <w:rFonts w:ascii="Century Gothic" w:hAnsi="Century Gothic" w:cs="Calibri"/>
        </w:rPr>
        <w:t xml:space="preserve"> </w:t>
      </w:r>
      <w:r w:rsidRPr="0026013D">
        <w:rPr>
          <w:rFonts w:ascii="Century Gothic" w:hAnsi="Century Gothic" w:cs="Calibri"/>
        </w:rPr>
        <w:t>when they're unwell. These guidelines summarise NHS and UK government advice on when children should stay home and when they can attend.</w:t>
      </w:r>
    </w:p>
    <w:p w14:paraId="12175C91" w14:textId="77777777" w:rsidR="00593384" w:rsidRPr="0026013D" w:rsidRDefault="0026013D" w:rsidP="0026013D">
      <w:pPr>
        <w:pStyle w:val="Heading2"/>
        <w:pBdr>
          <w:between w:val="single" w:sz="4" w:space="1" w:color="auto"/>
        </w:pBdr>
        <w:rPr>
          <w:rFonts w:ascii="Century Gothic" w:hAnsi="Century Gothic" w:cs="Calibri"/>
          <w:color w:val="auto"/>
        </w:rPr>
      </w:pPr>
      <w:r w:rsidRPr="0026013D">
        <w:rPr>
          <w:rFonts w:ascii="Century Gothic" w:hAnsi="Century Gothic" w:cs="Calibri"/>
          <w:color w:val="auto"/>
        </w:rPr>
        <w:t>When to Keep Your Child Off School</w:t>
      </w:r>
      <w:r>
        <w:rPr>
          <w:rFonts w:ascii="Century Gothic" w:hAnsi="Century Gothic" w:cs="Calibri"/>
          <w:color w:val="auto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77"/>
        <w:gridCol w:w="2876"/>
        <w:gridCol w:w="2877"/>
      </w:tblGrid>
      <w:tr w:rsidR="00593384" w:rsidRPr="0026013D" w14:paraId="6A472C9C" w14:textId="77777777" w:rsidTr="00790105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546D0A3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Condition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8BECC44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Stay at Home?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AAF1862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When They Can Return</w:t>
            </w:r>
          </w:p>
        </w:tc>
      </w:tr>
      <w:tr w:rsidR="00593384" w:rsidRPr="0026013D" w14:paraId="5E79B8B1" w14:textId="77777777" w:rsidTr="00790105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DEA1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Coughs &amp; colds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9157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No (if mild); Yes (if fever/unwell)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A20D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When fever has gone</w:t>
            </w:r>
          </w:p>
        </w:tc>
      </w:tr>
      <w:tr w:rsidR="00593384" w:rsidRPr="0026013D" w14:paraId="11B7B16E" w14:textId="77777777" w:rsidTr="00790105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54AF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Chickenpox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BD7B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Yes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CD8E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When all spots have crusted (≈5 days after first spots)</w:t>
            </w:r>
          </w:p>
        </w:tc>
      </w:tr>
      <w:tr w:rsidR="00593384" w:rsidRPr="0026013D" w14:paraId="255D82F8" w14:textId="77777777" w:rsidTr="00790105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9191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Cold sores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41E3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No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95FA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Can attend; avoid kissing/sharing items</w:t>
            </w:r>
          </w:p>
        </w:tc>
      </w:tr>
      <w:tr w:rsidR="00593384" w:rsidRPr="0026013D" w14:paraId="1DB40F51" w14:textId="77777777" w:rsidTr="00790105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3458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Conjunctivitis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DC0D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No (unless very unwell)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AE86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When feeling better</w:t>
            </w:r>
          </w:p>
        </w:tc>
      </w:tr>
      <w:tr w:rsidR="00593384" w:rsidRPr="0026013D" w14:paraId="10DA894A" w14:textId="77777777" w:rsidTr="00790105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5898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COVID-19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723F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Yes (if fever or too unwell)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A91C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3 days after positive test, if tested</w:t>
            </w:r>
          </w:p>
        </w:tc>
      </w:tr>
      <w:tr w:rsidR="00593384" w:rsidRPr="0026013D" w14:paraId="13935AB4" w14:textId="77777777" w:rsidTr="00790105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A7DD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Ear infection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83CE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Yes (if high temp or severe pain)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4A5B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When feeling better</w:t>
            </w:r>
          </w:p>
        </w:tc>
      </w:tr>
      <w:tr w:rsidR="00593384" w:rsidRPr="0026013D" w14:paraId="536435CE" w14:textId="77777777" w:rsidTr="00790105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7679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Hand, foot &amp; mouth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B396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No (if well)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3ABD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When feeling well enough</w:t>
            </w:r>
          </w:p>
        </w:tc>
      </w:tr>
      <w:tr w:rsidR="00593384" w:rsidRPr="0026013D" w14:paraId="196F3E66" w14:textId="77777777" w:rsidTr="00790105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152C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Head lice/nits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240E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No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1C94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Once treatment starts</w:t>
            </w:r>
          </w:p>
        </w:tc>
      </w:tr>
      <w:tr w:rsidR="00593384" w:rsidRPr="0026013D" w14:paraId="2539F261" w14:textId="77777777" w:rsidTr="00790105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805B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lastRenderedPageBreak/>
              <w:t>Impetigo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10D3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Yes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72D3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Until sores crusted/healed or 48h after antibiotics start</w:t>
            </w:r>
          </w:p>
        </w:tc>
      </w:tr>
      <w:tr w:rsidR="00593384" w:rsidRPr="0026013D" w14:paraId="2AA943CB" w14:textId="77777777" w:rsidTr="00790105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3207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Measles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18A1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Yes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830D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4 days after rash appears</w:t>
            </w:r>
          </w:p>
        </w:tc>
      </w:tr>
      <w:tr w:rsidR="00593384" w:rsidRPr="0026013D" w14:paraId="5B48D2CE" w14:textId="77777777" w:rsidTr="00790105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93D2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Ringworm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A74B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No (once treatment started)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D770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When treatment has begun</w:t>
            </w:r>
          </w:p>
        </w:tc>
      </w:tr>
      <w:tr w:rsidR="00593384" w:rsidRPr="0026013D" w14:paraId="61C747B5" w14:textId="77777777" w:rsidTr="00790105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10FD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Scarlet fever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7FD2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Yes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60D3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24 hours after starting antibiotics</w:t>
            </w:r>
          </w:p>
        </w:tc>
      </w:tr>
      <w:tr w:rsidR="00593384" w:rsidRPr="0026013D" w14:paraId="7AB1CCE8" w14:textId="77777777" w:rsidTr="00790105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C86A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Slapped cheek syndrome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664C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No (once rash appears)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38A4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When feeling well</w:t>
            </w:r>
          </w:p>
        </w:tc>
      </w:tr>
      <w:tr w:rsidR="00593384" w:rsidRPr="0026013D" w14:paraId="452B630C" w14:textId="77777777" w:rsidTr="00790105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DEB0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Sore throat / tonsillitis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C9E5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No (if mild); Yes (if fever/unwell)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4CBB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When fever is gone</w:t>
            </w:r>
          </w:p>
        </w:tc>
      </w:tr>
      <w:tr w:rsidR="00593384" w:rsidRPr="0026013D" w14:paraId="780B6593" w14:textId="77777777" w:rsidTr="00790105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9748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Threadworms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696A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No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F38E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Once treatment has started</w:t>
            </w:r>
          </w:p>
        </w:tc>
      </w:tr>
      <w:tr w:rsidR="00593384" w:rsidRPr="0026013D" w14:paraId="38E872AA" w14:textId="77777777" w:rsidTr="00790105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B42F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Vomiting / diarrhoea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4B9D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Yes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8606" w14:textId="77777777" w:rsidR="00593384" w:rsidRPr="0026013D" w:rsidRDefault="0026013D" w:rsidP="0026013D">
            <w:pPr>
              <w:pBdr>
                <w:between w:val="single" w:sz="4" w:space="1" w:color="auto"/>
              </w:pBdr>
              <w:rPr>
                <w:rFonts w:ascii="Century Gothic" w:hAnsi="Century Gothic" w:cs="Calibri"/>
              </w:rPr>
            </w:pPr>
            <w:r w:rsidRPr="0026013D">
              <w:rPr>
                <w:rFonts w:ascii="Century Gothic" w:hAnsi="Century Gothic" w:cs="Calibri"/>
              </w:rPr>
              <w:t>48 hours after last episode</w:t>
            </w:r>
          </w:p>
        </w:tc>
      </w:tr>
    </w:tbl>
    <w:p w14:paraId="4883BF78" w14:textId="77777777" w:rsidR="00593384" w:rsidRPr="0026013D" w:rsidRDefault="0026013D">
      <w:pPr>
        <w:pStyle w:val="Heading2"/>
        <w:rPr>
          <w:rFonts w:ascii="Century Gothic" w:hAnsi="Century Gothic" w:cs="Calibri"/>
          <w:color w:val="auto"/>
        </w:rPr>
      </w:pPr>
      <w:r w:rsidRPr="0026013D">
        <w:rPr>
          <w:rFonts w:ascii="Century Gothic" w:hAnsi="Century Gothic" w:cs="Calibri"/>
          <w:color w:val="auto"/>
        </w:rPr>
        <w:t>Other Notes</w:t>
      </w:r>
    </w:p>
    <w:p w14:paraId="01554506" w14:textId="172175EE" w:rsidR="00593384" w:rsidRPr="0026013D" w:rsidRDefault="0026013D">
      <w:pPr>
        <w:rPr>
          <w:rFonts w:ascii="Century Gothic" w:hAnsi="Century Gothic" w:cs="Calibri"/>
        </w:rPr>
      </w:pPr>
      <w:r w:rsidRPr="0026013D">
        <w:rPr>
          <w:rFonts w:ascii="Century Gothic" w:hAnsi="Century Gothic" w:cs="Calibri"/>
        </w:rPr>
        <w:t xml:space="preserve">• Always call </w:t>
      </w:r>
      <w:r w:rsidR="00790105">
        <w:rPr>
          <w:rFonts w:ascii="Century Gothic" w:hAnsi="Century Gothic" w:cs="Calibri"/>
        </w:rPr>
        <w:t xml:space="preserve">or text </w:t>
      </w:r>
      <w:r w:rsidRPr="0026013D">
        <w:rPr>
          <w:rFonts w:ascii="Century Gothic" w:hAnsi="Century Gothic" w:cs="Calibri"/>
        </w:rPr>
        <w:t>the school on the first day of absence.</w:t>
      </w:r>
      <w:r w:rsidRPr="0026013D">
        <w:rPr>
          <w:rFonts w:ascii="Century Gothic" w:hAnsi="Century Gothic" w:cs="Calibri"/>
        </w:rPr>
        <w:br/>
        <w:t xml:space="preserve">• If your child has an infection but feels well enough to attend (e.g. head lice, cold sore), let the </w:t>
      </w:r>
      <w:r w:rsidR="00790105">
        <w:rPr>
          <w:rFonts w:ascii="Century Gothic" w:hAnsi="Century Gothic" w:cs="Calibri"/>
        </w:rPr>
        <w:t>office</w:t>
      </w:r>
      <w:r w:rsidRPr="0026013D">
        <w:rPr>
          <w:rFonts w:ascii="Century Gothic" w:hAnsi="Century Gothic" w:cs="Calibri"/>
        </w:rPr>
        <w:t xml:space="preserve"> know.</w:t>
      </w:r>
      <w:r w:rsidRPr="0026013D">
        <w:rPr>
          <w:rFonts w:ascii="Century Gothic" w:hAnsi="Century Gothic" w:cs="Calibri"/>
        </w:rPr>
        <w:br/>
        <w:t xml:space="preserve">• For anxiety or emotional worries, encourage open conversation and speak to </w:t>
      </w:r>
      <w:r>
        <w:rPr>
          <w:rFonts w:ascii="Century Gothic" w:hAnsi="Century Gothic" w:cs="Calibri"/>
        </w:rPr>
        <w:t xml:space="preserve">the </w:t>
      </w:r>
      <w:r w:rsidR="00790105">
        <w:rPr>
          <w:rFonts w:ascii="Century Gothic" w:hAnsi="Century Gothic" w:cs="Calibri"/>
        </w:rPr>
        <w:t>p</w:t>
      </w:r>
      <w:r>
        <w:rPr>
          <w:rFonts w:ascii="Century Gothic" w:hAnsi="Century Gothic" w:cs="Calibri"/>
        </w:rPr>
        <w:t xml:space="preserve">astoral team, who will be able to support your child. </w:t>
      </w:r>
      <w:bookmarkStart w:id="0" w:name="_GoBack"/>
      <w:bookmarkEnd w:id="0"/>
    </w:p>
    <w:sectPr w:rsidR="00593384" w:rsidRPr="0026013D" w:rsidSect="0026013D">
      <w:headerReference w:type="default" r:id="rId11"/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D8B4D" w14:textId="77777777" w:rsidR="0026013D" w:rsidRDefault="0026013D" w:rsidP="0026013D">
      <w:pPr>
        <w:spacing w:after="0" w:line="240" w:lineRule="auto"/>
      </w:pPr>
      <w:r>
        <w:separator/>
      </w:r>
    </w:p>
  </w:endnote>
  <w:endnote w:type="continuationSeparator" w:id="0">
    <w:p w14:paraId="6A255CE7" w14:textId="77777777" w:rsidR="0026013D" w:rsidRDefault="0026013D" w:rsidP="00260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AF391" w14:textId="77777777" w:rsidR="0026013D" w:rsidRDefault="0026013D" w:rsidP="0026013D">
      <w:pPr>
        <w:spacing w:after="0" w:line="240" w:lineRule="auto"/>
      </w:pPr>
      <w:r>
        <w:separator/>
      </w:r>
    </w:p>
  </w:footnote>
  <w:footnote w:type="continuationSeparator" w:id="0">
    <w:p w14:paraId="01B49051" w14:textId="77777777" w:rsidR="0026013D" w:rsidRDefault="0026013D" w:rsidP="00260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C052A" w14:textId="77777777" w:rsidR="0026013D" w:rsidRDefault="0026013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6AB5B4" wp14:editId="2CC98073">
          <wp:simplePos x="0" y="0"/>
          <wp:positionH relativeFrom="column">
            <wp:posOffset>3855720</wp:posOffset>
          </wp:positionH>
          <wp:positionV relativeFrom="paragraph">
            <wp:posOffset>-91440</wp:posOffset>
          </wp:positionV>
          <wp:extent cx="2501900" cy="6126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0" cy="61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9EEB9C" w14:textId="77777777" w:rsidR="0026013D" w:rsidRDefault="002601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013D"/>
    <w:rsid w:val="0029639D"/>
    <w:rsid w:val="00326F90"/>
    <w:rsid w:val="00593384"/>
    <w:rsid w:val="00790105"/>
    <w:rsid w:val="00AA1D8D"/>
    <w:rsid w:val="00B47730"/>
    <w:rsid w:val="00BA669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F14B10"/>
  <w14:defaultImageDpi w14:val="300"/>
  <w15:docId w15:val="{8D7CD7D9-4EF3-4AC2-B98E-54CB52AF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d14626-de30-4807-a9e8-9c3648c72518" xsi:nil="true"/>
    <lcf76f155ced4ddcb4097134ff3c332f xmlns="ed065bdf-30f7-4423-a44b-875d8fc35c4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C4EE8DAFA8ED45A8B0865AAD9F09B0" ma:contentTypeVersion="17" ma:contentTypeDescription="Create a new document." ma:contentTypeScope="" ma:versionID="9e5dfbc0800c7a55bf76201923fea37b">
  <xsd:schema xmlns:xsd="http://www.w3.org/2001/XMLSchema" xmlns:xs="http://www.w3.org/2001/XMLSchema" xmlns:p="http://schemas.microsoft.com/office/2006/metadata/properties" xmlns:ns2="ed065bdf-30f7-4423-a44b-875d8fc35c48" xmlns:ns3="88d14626-de30-4807-a9e8-9c3648c72518" targetNamespace="http://schemas.microsoft.com/office/2006/metadata/properties" ma:root="true" ma:fieldsID="2d7578840c8266420e3db0ea8c750f7a" ns2:_="" ns3:_="">
    <xsd:import namespace="ed065bdf-30f7-4423-a44b-875d8fc35c48"/>
    <xsd:import namespace="88d14626-de30-4807-a9e8-9c3648c725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65bdf-30f7-4423-a44b-875d8fc35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ea4725b-739a-4ed8-aa49-e6693b91a8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14626-de30-4807-a9e8-9c3648c7251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ac0fb14-bf04-4fb5-abff-12f4e493e020}" ma:internalName="TaxCatchAll" ma:showField="CatchAllData" ma:web="88d14626-de30-4807-a9e8-9c3648c72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6B3311D-4EB7-4E91-AE05-C5CDCEFBC302}">
  <ds:schemaRefs>
    <ds:schemaRef ds:uri="88d14626-de30-4807-a9e8-9c3648c72518"/>
    <ds:schemaRef ds:uri="http://www.w3.org/XML/1998/namespace"/>
    <ds:schemaRef ds:uri="ed065bdf-30f7-4423-a44b-875d8fc35c48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7A8BDE-8DB7-4038-9307-9ECB88B5C2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78C390-98C7-42F8-8A53-6D7C327E3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065bdf-30f7-4423-a44b-875d8fc35c48"/>
    <ds:schemaRef ds:uri="88d14626-de30-4807-a9e8-9c3648c725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5C7A34-B2FF-4859-8AD9-3D164FCB5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Beki Farrar</cp:lastModifiedBy>
  <cp:revision>3</cp:revision>
  <dcterms:created xsi:type="dcterms:W3CDTF">2025-10-15T08:47:00Z</dcterms:created>
  <dcterms:modified xsi:type="dcterms:W3CDTF">2025-10-15T09:33:00Z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0x010100CCC4EE8DAFA8ED45A8B0865AAD9F09B0</vt:lpwstr>
  </property>
  <property fmtid="{D5CDD505-2E9C-101B-9397-08002B2CF9AE}" pid="3" name="MediaServiceImageTags">
    <vt:lpwstr/>
  </property>
</Properties>
</file>